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Pr="0007539C" w:rsidRDefault="00DA6D17" w:rsidP="0007539C">
      <w:pPr>
        <w:pStyle w:val="ConsPlusTitle"/>
        <w:jc w:val="center"/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8E0454" w:rsidRPr="00FE18EE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CF6">
        <w:rPr>
          <w:rFonts w:ascii="Times New Roman" w:hAnsi="Times New Roman" w:cs="Times New Roman"/>
          <w:bCs/>
          <w:sz w:val="24"/>
          <w:szCs w:val="24"/>
        </w:rPr>
        <w:t>28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CF6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18A6" w:rsidRPr="00E11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  <w:r w:rsidRPr="006B41BD">
              <w:t xml:space="preserve"> 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  <w:r w:rsidRPr="004F4A62">
              <w:rPr>
                <w:rFonts w:cstheme="minorHAnsi"/>
              </w:rPr>
              <w:t xml:space="preserve"> 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</w:rPr>
              <w:t xml:space="preserve"> 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  <w:r w:rsidRPr="001C57A8">
              <w:rPr>
                <w:lang w:eastAsia="ru-RU"/>
              </w:rPr>
              <w:t xml:space="preserve"> 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  <w:r w:rsidRPr="00076A7E">
              <w:rPr>
                <w:lang w:val="en-US"/>
              </w:rPr>
              <w:t xml:space="preserve"> 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>
              <w:rPr>
                <w:b/>
              </w:rPr>
              <w:t>30.06.2017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503015" w:rsidP="00A4171D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B46769" w:rsidRPr="00536C7C">
              <w:rPr>
                <w:b/>
              </w:rPr>
              <w:t xml:space="preserve"> </w:t>
            </w:r>
            <w:r>
              <w:rPr>
                <w:b/>
              </w:rPr>
              <w:t>47</w:t>
            </w:r>
            <w:r w:rsidR="004B75BF">
              <w:rPr>
                <w:b/>
              </w:rPr>
              <w:t>7</w:t>
            </w:r>
            <w:r>
              <w:rPr>
                <w:b/>
              </w:rPr>
              <w:t>)</w:t>
            </w:r>
            <w:r w:rsidR="00A4171D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A4171D" w:rsidP="00076A7E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176</w:t>
            </w:r>
            <w:r w:rsidR="001A0209" w:rsidRPr="004B75BF">
              <w:rPr>
                <w:b/>
              </w:rPr>
              <w:t xml:space="preserve"> тыс</w:t>
            </w:r>
            <w:r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  <w:r w:rsidR="00BF0D5E" w:rsidRPr="00076A7E">
              <w:t xml:space="preserve"> </w:t>
            </w:r>
          </w:p>
          <w:p w:rsidR="00DA6D17" w:rsidRPr="00536C7C" w:rsidRDefault="00BF0D5E" w:rsidP="00A4171D">
            <w:pPr>
              <w:pStyle w:val="ConsPlusNormal"/>
              <w:rPr>
                <w:b/>
                <w:highlight w:val="yellow"/>
              </w:rPr>
            </w:pPr>
            <w:r w:rsidRPr="00076A7E">
              <w:t xml:space="preserve"> </w:t>
            </w:r>
            <w:r w:rsidR="004B75BF">
              <w:rPr>
                <w:b/>
              </w:rPr>
              <w:t>6 702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8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  <w:r w:rsidR="002F7667">
              <w:rPr>
                <w:color w:val="0000FF"/>
              </w:rPr>
              <w:t xml:space="preserve"> </w:t>
            </w:r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r w:rsidR="008F7C76">
              <w:t xml:space="preserve"> </w:t>
            </w:r>
            <w:r>
              <w:t xml:space="preserve">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9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  <w:r w:rsidRPr="00424194">
              <w:t xml:space="preserve"> 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187EFA">
              <w:rPr>
                <w:b/>
              </w:rPr>
              <w:t xml:space="preserve"> 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80F2F">
              <w:rPr>
                <w:b/>
              </w:rPr>
              <w:t xml:space="preserve"> 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41086F" w:rsidP="00F21796">
            <w:pPr>
              <w:pStyle w:val="ConsPlusNormal"/>
            </w:pPr>
            <w:r>
              <w:t xml:space="preserve"> </w:t>
            </w:r>
            <w:r w:rsidR="00900933"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  <w:r w:rsidRPr="001C57A8">
              <w:t xml:space="preserve"> 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8" w:name="P369"/>
            <w:bookmarkEnd w:id="38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04.05.2017</w:t>
            </w:r>
            <w:r w:rsidR="0012642D">
              <w:rPr>
                <w:b/>
              </w:rPr>
              <w:t xml:space="preserve"> </w:t>
            </w:r>
            <w:r w:rsidRPr="00900933">
              <w:rPr>
                <w:b/>
              </w:rPr>
              <w:t xml:space="preserve">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4B1761" w:rsidRPr="00900933" w:rsidRDefault="004B1761" w:rsidP="004B1761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>14 января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</w:t>
            </w:r>
            <w:r>
              <w:lastRenderedPageBreak/>
              <w:t xml:space="preserve">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DA6D17" w:rsidRPr="001167D3" w:rsidRDefault="00B4198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="00295CB5" w:rsidRPr="001167D3">
              <w:rPr>
                <w:b/>
              </w:rPr>
              <w:t>.02.2016г.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DA6D17" w:rsidRPr="001167D3" w:rsidRDefault="005F7CD4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AC12FA" w:rsidTr="00295CB5">
        <w:trPr>
          <w:trHeight w:val="515"/>
        </w:trPr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416D60" w:rsidRDefault="00DA6D17" w:rsidP="007B2D85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5" w:name="P400"/>
            <w:bookmarkEnd w:id="45"/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7B2D85" w:rsidRPr="00416D60" w:rsidRDefault="00416D60" w:rsidP="006C6C9A">
            <w:pPr>
              <w:pStyle w:val="ConsPlusNormal"/>
            </w:pPr>
            <w:r w:rsidRPr="00AC12FA">
              <w:rPr>
                <w:b/>
              </w:rPr>
              <w:t>Физическое лицо</w:t>
            </w:r>
            <w:r w:rsidR="006C6C9A">
              <w:rPr>
                <w:b/>
              </w:rPr>
              <w:t>,</w:t>
            </w:r>
            <w:r w:rsidRPr="00AC12FA">
              <w:rPr>
                <w:b/>
              </w:rPr>
              <w:t xml:space="preserve"> не </w:t>
            </w:r>
            <w:r w:rsidR="006C6C9A" w:rsidRPr="00AC12FA">
              <w:rPr>
                <w:b/>
              </w:rPr>
              <w:t>являющееся Индивидуальным</w:t>
            </w:r>
            <w:r w:rsidRPr="00AC12FA">
              <w:rPr>
                <w:b/>
              </w:rPr>
              <w:t xml:space="preserve"> предпринимателем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16D60" w:rsidRDefault="00DA6D17"/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6" w:name="P402"/>
            <w:bookmarkEnd w:id="46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7" w:name="P404"/>
            <w:bookmarkEnd w:id="47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8" w:name="P406"/>
            <w:bookmarkEnd w:id="48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Лантух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Калялин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Чебаненко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Яковлев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Долгий 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Долгая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Кононова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Богомолов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Демина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Фалина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Афанасьева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Гаврилова 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Уварова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Сидоров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Осадчина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Пупков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Коновалова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Каплан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Стрибко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Ланьшин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Ланшина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Шелест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Фунтиков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6728C2" w:rsidRPr="00AC12FA" w:rsidRDefault="000D434D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6728C2" w:rsidRPr="00AC12FA" w:rsidRDefault="006728C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Волосач</w:t>
            </w:r>
          </w:p>
          <w:p w:rsidR="009B4BF1" w:rsidRPr="00AC12FA" w:rsidRDefault="006728C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Чепик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Авдеев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Фролов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Половникова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Курбатов</w:t>
            </w:r>
          </w:p>
          <w:p w:rsidR="004F2BD8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Ланкевич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Вячеслав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Данил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Алевтина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Светлана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Аэлита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30.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Лилия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Елена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Артем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Майя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Андриан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Фаина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</w:t>
            </w:r>
          </w:p>
          <w:p w:rsidR="00E60130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66.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Ирина</w:t>
            </w:r>
          </w:p>
          <w:p w:rsidR="0090133B" w:rsidRPr="00AC12FA" w:rsidRDefault="00E60130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Антонина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Анжелика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Владимир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Михаил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Денис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Андрей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Наталья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Родион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9" w:name="P410"/>
            <w:bookmarkEnd w:id="49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Борисовна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Николаевич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Валентинович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Георгиевна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Леонтьевич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Максимовна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Вальдемарович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Семенович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Сергеевна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Геннадьевич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Мееровна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56. Васильевич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Соломонович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Васильевна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Феодосьевна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Хоревна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Харитонович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Иванович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Петрович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Евгеневич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Борисовна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Александрович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50" w:name="P412"/>
            <w:bookmarkEnd w:id="50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739C2" w:rsidRPr="006728C2" w:rsidRDefault="00AC12FA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1" w:name="P414"/>
            <w:bookmarkEnd w:id="51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2" w:name="P416"/>
            <w:bookmarkEnd w:id="52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6C6C9A" w:rsidRPr="00416D60" w:rsidRDefault="006C6C9A" w:rsidP="006C6C9A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495E44" w:rsidRDefault="006C6C9A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 w:val="restart"/>
          </w:tcPr>
          <w:p w:rsidR="00495E44" w:rsidRPr="00416D60" w:rsidRDefault="00495E44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495E44" w:rsidRPr="00416D60" w:rsidRDefault="00495E44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416D60" w:rsidRDefault="00495E44" w:rsidP="00017F98"/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495E44" w:rsidRPr="00416D60" w:rsidRDefault="00495E44" w:rsidP="00017F98">
            <w:pPr>
              <w:pStyle w:val="ConsPlusNormal"/>
            </w:pP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416D60" w:rsidRDefault="00495E44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495E44" w:rsidRPr="00495E44" w:rsidRDefault="00495E44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495E44" w:rsidRPr="006728C2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6728C2" w:rsidRDefault="00495E44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>
              <w:rPr>
                <w:b/>
              </w:rPr>
              <w:t>П</w:t>
            </w:r>
            <w:r w:rsidR="00495E44">
              <w:rPr>
                <w:b/>
              </w:rPr>
              <w:t>убличный собственник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3" w:name="P418"/>
            <w:bookmarkEnd w:id="53"/>
            <w: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DA6D17" w:rsidRPr="00AC12FA" w:rsidRDefault="005F7CD4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 w:rsidR="00E568E6">
              <w:rPr>
                <w:b/>
              </w:rPr>
              <w:t xml:space="preserve"> (</w:t>
            </w:r>
            <w:r w:rsidR="00E568E6" w:rsidRPr="00AC12FA">
              <w:rPr>
                <w:b/>
              </w:rPr>
              <w:t>54:35:101190:14/1</w:t>
            </w:r>
            <w:r w:rsidR="00E568E6">
              <w:rPr>
                <w:b/>
              </w:rPr>
              <w:t>)</w:t>
            </w:r>
          </w:p>
        </w:tc>
      </w:tr>
      <w:tr w:rsidR="00DA6D17" w:rsidTr="00111277">
        <w:trPr>
          <w:trHeight w:val="419"/>
        </w:trPr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DA6D17" w:rsidRPr="00AC12FA" w:rsidRDefault="00E568E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6789 кв.м (часть </w:t>
            </w:r>
            <w:r w:rsidR="00CE3187">
              <w:rPr>
                <w:b/>
              </w:rPr>
              <w:t>2665 кв.м.</w:t>
            </w:r>
            <w:r>
              <w:rPr>
                <w:b/>
              </w:rPr>
              <w:t>)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1E0523" w:rsidRDefault="00DA6D17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  <w:r w:rsidRPr="00A51E28">
              <w:t xml:space="preserve"> </w:t>
            </w:r>
          </w:p>
          <w:p w:rsidR="00427FB6" w:rsidRPr="00AC12FA" w:rsidRDefault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427FB6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</w:t>
            </w:r>
            <w:r w:rsidR="00427FB6" w:rsidRPr="00AC12FA">
              <w:rPr>
                <w:b/>
              </w:rPr>
              <w:t>е 4,5метров, ширина тротуаров 1,5 и 2метра.</w:t>
            </w:r>
          </w:p>
          <w:p w:rsidR="00DA6D17" w:rsidRPr="00A51E28" w:rsidRDefault="00427FB6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</w:t>
            </w:r>
            <w:r w:rsidR="00A51E28" w:rsidRPr="00AC12FA">
              <w:rPr>
                <w:b/>
              </w:rPr>
              <w:t>жую часть принят не более 1:12.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AC12FA" w:rsidRDefault="00AC12FA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6157EE" w:rsidRPr="00AC12FA" w:rsidRDefault="00427FB6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</w:t>
            </w:r>
            <w:r w:rsidR="00096281">
              <w:rPr>
                <w:b/>
              </w:rPr>
              <w:t xml:space="preserve"> </w:t>
            </w:r>
            <w:r w:rsidRPr="00AC12FA">
              <w:rPr>
                <w:b/>
              </w:rPr>
              <w:t>метров.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A51E28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</w:t>
            </w:r>
            <w:r w:rsidR="00A51E28" w:rsidRPr="00AC12FA">
              <w:rPr>
                <w:b/>
              </w:rPr>
              <w:t>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</w:t>
            </w:r>
            <w:r w:rsidRPr="00AC12FA">
              <w:rPr>
                <w:b/>
              </w:rPr>
              <w:t>ого ограждения на высоту не мене</w:t>
            </w:r>
            <w:r w:rsidR="00A51E28" w:rsidRPr="00AC12FA">
              <w:rPr>
                <w:b/>
              </w:rPr>
              <w:t>е 2 метров, площадка для отдыха взрослых.</w:t>
            </w:r>
          </w:p>
          <w:p w:rsidR="00A51E28" w:rsidRPr="00A51E28" w:rsidRDefault="00A51E28">
            <w:pPr>
              <w:pStyle w:val="ConsPlusNormal"/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</w:t>
            </w:r>
            <w:r>
              <w:lastRenderedPageBreak/>
              <w:t>(расположение относительно объекта строительства)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Описание планируемых мероприятий по озеленению</w:t>
            </w:r>
            <w:r w:rsidRPr="00A51E28">
              <w:t xml:space="preserve"> </w:t>
            </w:r>
          </w:p>
          <w:p w:rsidR="00DA6D17" w:rsidRPr="00AC12FA" w:rsidRDefault="00A51E28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 xml:space="preserve">Для маломобильных групп населения </w:t>
            </w:r>
            <w:r w:rsidR="00047D98" w:rsidRPr="00AC12FA">
              <w:rPr>
                <w:b/>
              </w:rPr>
              <w:t>проекто</w:t>
            </w:r>
            <w:r w:rsidR="00A573B5" w:rsidRPr="00AC12FA">
              <w:rPr>
                <w:b/>
              </w:rPr>
              <w:t xml:space="preserve">м предусмотрены мероприятия по </w:t>
            </w:r>
            <w:r w:rsidR="00047D98" w:rsidRPr="00AC12FA">
              <w:rPr>
                <w:b/>
              </w:rPr>
              <w:t xml:space="preserve">беспрепятственному </w:t>
            </w:r>
            <w:r w:rsidR="00A573B5" w:rsidRPr="00AC12FA">
              <w:rPr>
                <w:b/>
              </w:rPr>
              <w:t>передвижению по территории объекта с учетом требований градостроительных норм и СП.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DA6D17" w:rsidRPr="00AC12FA" w:rsidRDefault="00A573B5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DA6D17" w:rsidRPr="001E0523" w:rsidRDefault="00AC12FA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DA6D17" w:rsidRPr="00AC12FA" w:rsidRDefault="00424194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Полное наименование организации, выдавшей технические условия на </w:t>
            </w:r>
            <w:r>
              <w:lastRenderedPageBreak/>
              <w:t xml:space="preserve">подключение к сети инженерно-технического обеспечения, без указания организационно-правовой формы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A6D17" w:rsidRPr="001C4F65" w:rsidRDefault="00500334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="00424194"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</w:t>
            </w:r>
            <w:r w:rsidR="001D408E">
              <w:rPr>
                <w:b/>
              </w:rPr>
              <w:t xml:space="preserve"> </w:t>
            </w:r>
            <w:r w:rsidRPr="001C4F65">
              <w:rPr>
                <w:b/>
              </w:rPr>
              <w:t>445 рублей 12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  <w:bookmarkStart w:id="55" w:name="P459"/>
            <w:bookmarkEnd w:id="55"/>
          </w:p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D408E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Бытовое </w:t>
            </w:r>
            <w:r w:rsidR="00424194"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1D408E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</w:t>
            </w:r>
            <w:r w:rsidR="006C5CE7">
              <w:rPr>
                <w:b/>
              </w:rPr>
              <w:t xml:space="preserve"> </w:t>
            </w:r>
            <w:r w:rsidRPr="001C4F65">
              <w:rPr>
                <w:b/>
              </w:rPr>
              <w:t>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6C5CE7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</w:p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1C4F65" w:rsidRDefault="001C4F65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24FFD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D37C57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FB39D0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1C4F65">
        <w:tc>
          <w:tcPr>
            <w:tcW w:w="3855" w:type="dxa"/>
            <w:gridSpan w:val="4"/>
            <w:vMerge w:val="restart"/>
          </w:tcPr>
          <w:p w:rsidR="001C4F65" w:rsidRDefault="001C4F65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>
              <w:lastRenderedPageBreak/>
              <w:t>помещений и нежилых помещений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50" w:type="dxa"/>
            <w:gridSpan w:val="10"/>
          </w:tcPr>
          <w:p w:rsidR="00DA6D17" w:rsidRDefault="001C4F65">
            <w:pPr>
              <w:pStyle w:val="ConsPlusNormal"/>
            </w:pPr>
            <w:r>
              <w:t>Количество жилых помещений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Количество нежилых помещений </w:t>
            </w:r>
          </w:p>
          <w:p w:rsidR="00CF28D8" w:rsidRPr="001C4F65" w:rsidRDefault="00CF28D8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CF28D8" w:rsidRDefault="00CF28D8">
            <w:pPr>
              <w:pStyle w:val="ConsPlusNormal"/>
            </w:pPr>
            <w:r>
              <w:t xml:space="preserve">в том числе машино-мест </w:t>
            </w:r>
          </w:p>
          <w:p w:rsidR="00DA6D17" w:rsidRPr="00CF28D8" w:rsidRDefault="000C139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lastRenderedPageBreak/>
              <w:t>94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DA6D17" w:rsidRDefault="00CF28D8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CF28D8" w:rsidRPr="00CF28D8" w:rsidRDefault="00CF28D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757" w:type="dxa"/>
            <w:gridSpan w:val="2"/>
            <w:vMerge/>
          </w:tcPr>
          <w:p w:rsidR="00DA6D17" w:rsidRDefault="00DA6D17"/>
        </w:tc>
        <w:tc>
          <w:tcPr>
            <w:tcW w:w="1565" w:type="dxa"/>
            <w:vMerge/>
          </w:tcPr>
          <w:p w:rsidR="00DA6D17" w:rsidRDefault="00DA6D17"/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10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>
              <w:t>15.3. Об основных характеристиках нежилых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6157EE" w:rsidP="00486504">
            <w:pPr>
              <w:pStyle w:val="ConsPlusNormal"/>
              <w:jc w:val="center"/>
            </w:pPr>
            <w:r>
              <w:t xml:space="preserve">Номер </w:t>
            </w:r>
            <w:r w:rsidR="00486504">
              <w:t>места</w:t>
            </w:r>
          </w:p>
        </w:tc>
        <w:tc>
          <w:tcPr>
            <w:tcW w:w="2322" w:type="dxa"/>
            <w:gridSpan w:val="3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DA6D17" w:rsidRDefault="00DA6D17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2322" w:type="dxa"/>
            <w:gridSpan w:val="3"/>
            <w:vMerge/>
          </w:tcPr>
          <w:p w:rsidR="00DA6D17" w:rsidRDefault="00DA6D17"/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217E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217E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217E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217E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217E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r w:rsidRPr="001C57A8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N п\п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0F1F05" w:rsidRDefault="00C8787E" w:rsidP="00E505F3">
            <w:pPr>
              <w:pStyle w:val="ConsPlusNormal"/>
              <w:jc w:val="center"/>
            </w:pPr>
            <w:r>
              <w:t>1207,87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504FCE" w:rsidTr="00E505F3">
        <w:trPr>
          <w:trHeight w:val="527"/>
        </w:trPr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0F1F05">
            <w:pPr>
              <w:pStyle w:val="ConsPlusNormal"/>
              <w:jc w:val="center"/>
            </w:pPr>
            <w:r w:rsidRPr="008A6F67">
              <w:t>3</w:t>
            </w:r>
            <w:r w:rsidR="000F1F05">
              <w:t>,60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0F1F05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 xml:space="preserve">Лестничная клетка с подпором </w:t>
            </w:r>
            <w:r w:rsidRPr="008A6F67">
              <w:lastRenderedPageBreak/>
              <w:t>воздуха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15,0</w:t>
            </w:r>
            <w:r w:rsidR="000F1F05">
              <w:t>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504FCE" w:rsidTr="00E505F3">
        <w:tc>
          <w:tcPr>
            <w:tcW w:w="907" w:type="dxa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504FCE" w:rsidRPr="00BB5B04" w:rsidRDefault="00504FCE" w:rsidP="00E505F3">
            <w:pPr>
              <w:pStyle w:val="ConsPlusNormal"/>
              <w:jc w:val="center"/>
            </w:pPr>
            <w:bookmarkStart w:id="58" w:name="OLE_LINK5"/>
            <w:bookmarkStart w:id="59" w:name="OLE_LINK6"/>
            <w:r w:rsidRPr="00BB5B04">
              <w:t>отм. -2.750</w:t>
            </w:r>
            <w:bookmarkEnd w:id="58"/>
            <w:bookmarkEnd w:id="59"/>
          </w:p>
        </w:tc>
        <w:tc>
          <w:tcPr>
            <w:tcW w:w="2630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DF0008" w:rsidRPr="00827670" w:rsidTr="00DF0008">
        <w:trPr>
          <w:trHeight w:val="244"/>
        </w:trPr>
        <w:tc>
          <w:tcPr>
            <w:tcW w:w="907" w:type="dxa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DF0008" w:rsidRPr="00DF0008" w:rsidRDefault="00DF0008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827670" w:rsidRPr="00827670" w:rsidTr="00E505F3">
        <w:tc>
          <w:tcPr>
            <w:tcW w:w="907" w:type="dxa"/>
          </w:tcPr>
          <w:p w:rsidR="00504FCE" w:rsidRPr="00DF0008" w:rsidRDefault="00DF0008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504FCE" w:rsidRPr="00DF0008" w:rsidRDefault="00827670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DF0008" w:rsidRDefault="00C8787E" w:rsidP="00E505F3">
            <w:pPr>
              <w:pStyle w:val="ConsPlusNormal"/>
              <w:jc w:val="center"/>
            </w:pPr>
            <w:r>
              <w:t>1223,87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3C30DC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C8787E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отм. +0.580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C8787E" w:rsidP="00E505F3">
            <w:pPr>
              <w:pStyle w:val="ConsPlusNormal"/>
              <w:jc w:val="center"/>
            </w:pPr>
            <w:r>
              <w:t>9,0</w:t>
            </w:r>
            <w:bookmarkStart w:id="60" w:name="_GoBack"/>
            <w:bookmarkEnd w:id="60"/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233EBD" w:rsidRDefault="00504FCE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4FCE" w:rsidTr="00E505F3"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504FCE" w:rsidTr="00E505F3">
        <w:trPr>
          <w:trHeight w:val="499"/>
        </w:trPr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1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2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Обеспечение ХВС, ГВС, пожаротушения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3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504FCE" w:rsidRDefault="00D16AE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D16AE2" w:rsidRPr="00DD3FE3" w:rsidRDefault="00D16AE2" w:rsidP="00AC0AD7">
            <w:pPr>
              <w:pStyle w:val="ConsPlusNormal"/>
              <w:jc w:val="center"/>
            </w:pPr>
            <w:r>
              <w:t xml:space="preserve">Вентиляция и кондиционирование воздуха: </w:t>
            </w:r>
            <w:r w:rsidR="00AC0AD7">
              <w:t>запроектирована приточно-вытяжная вентиляция с механическим побуждением</w:t>
            </w:r>
            <w:r>
              <w:t xml:space="preserve"> 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B97F57" w:rsidRDefault="00504FCE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Описание места расположения имущества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1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504FCE" w:rsidTr="00E505F3">
        <w:tc>
          <w:tcPr>
            <w:tcW w:w="907" w:type="dxa"/>
            <w:vAlign w:val="center"/>
          </w:tcPr>
          <w:p w:rsidR="00504FCE" w:rsidRPr="00B97F57" w:rsidRDefault="00842C49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 xml:space="preserve">Наружные инженерные сети в границах земельного </w:t>
            </w:r>
            <w:r w:rsidRPr="00B97F57">
              <w:lastRenderedPageBreak/>
              <w:t>участка</w:t>
            </w:r>
          </w:p>
        </w:tc>
        <w:tc>
          <w:tcPr>
            <w:tcW w:w="2101" w:type="dxa"/>
            <w:gridSpan w:val="4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lastRenderedPageBreak/>
              <w:t xml:space="preserve">Теплоснабжение, электроснабжение, </w:t>
            </w:r>
            <w:r w:rsidRPr="00B97F57">
              <w:lastRenderedPageBreak/>
              <w:t>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lastRenderedPageBreak/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61" w:name="P518"/>
            <w:bookmarkEnd w:id="61"/>
            <w:r>
              <w:lastRenderedPageBreak/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430AB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5430AB" w:rsidRDefault="005430AB" w:rsidP="00EC073D">
            <w:pPr>
              <w:pStyle w:val="ConsPlusNormal"/>
            </w:pPr>
            <w:bookmarkStart w:id="62" w:name="P550"/>
            <w:bookmarkEnd w:id="62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  <w:r>
              <w:t xml:space="preserve"> </w:t>
            </w:r>
          </w:p>
        </w:tc>
        <w:tc>
          <w:tcPr>
            <w:tcW w:w="964" w:type="dxa"/>
          </w:tcPr>
          <w:p w:rsidR="005430AB" w:rsidRDefault="005430AB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5430AB" w:rsidRDefault="005430AB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5430AB" w:rsidTr="005430AB">
        <w:trPr>
          <w:trHeight w:val="39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DD3759">
            <w:pPr>
              <w:pStyle w:val="ConsPlusNormal"/>
            </w:pPr>
            <w:r>
              <w:t>17.1.</w:t>
            </w:r>
            <w:r w:rsidR="00DD3759">
              <w:t>1</w:t>
            </w:r>
            <w:r w:rsidR="006D258C">
              <w:t>(1)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5430AB" w:rsidTr="005430AB">
        <w:trPr>
          <w:trHeight w:val="30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2(1)</w:t>
            </w:r>
          </w:p>
        </w:tc>
        <w:tc>
          <w:tcPr>
            <w:tcW w:w="6015" w:type="dxa"/>
            <w:gridSpan w:val="8"/>
          </w:tcPr>
          <w:p w:rsidR="005430AB" w:rsidRP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49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Pr="005430AB" w:rsidRDefault="005430AB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5430AB" w:rsidTr="005430AB">
        <w:trPr>
          <w:trHeight w:val="43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1(4)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5430AB" w:rsidTr="005430AB">
        <w:trPr>
          <w:trHeight w:val="690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2(4)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4</w:t>
            </w:r>
            <w:r w:rsidRPr="006B6999">
              <w:rPr>
                <w:b/>
              </w:rPr>
              <w:t xml:space="preserve"> кв 2017г.</w:t>
            </w:r>
          </w:p>
          <w:p w:rsidR="005430AB" w:rsidRDefault="005430AB" w:rsidP="005430AB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>Планируемая стоимость строительства (руб.)</w:t>
            </w:r>
          </w:p>
          <w:p w:rsidR="00DA6D17" w:rsidRPr="006B6999" w:rsidRDefault="003747AD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3" w:name="P560"/>
            <w:bookmarkEnd w:id="63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4" w:name="P563"/>
            <w:bookmarkEnd w:id="64"/>
            <w:r>
              <w:t>19.1.2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F169B3" w:rsidRPr="00F169B3" w:rsidRDefault="00F169B3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5" w:name="P565"/>
            <w:bookmarkEnd w:id="65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20.1. Об иных соглашениях и о сделках, на основании которых привлекаются </w:t>
            </w:r>
            <w:r>
              <w:lastRenderedPageBreak/>
              <w:t>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66" w:name="P574"/>
            <w:bookmarkEnd w:id="66"/>
            <w:r>
              <w:lastRenderedPageBreak/>
              <w:t>20.1.1</w:t>
            </w:r>
          </w:p>
        </w:tc>
        <w:tc>
          <w:tcPr>
            <w:tcW w:w="8050" w:type="dxa"/>
            <w:gridSpan w:val="10"/>
          </w:tcPr>
          <w:p w:rsidR="00DA6D17" w:rsidRPr="006B6999" w:rsidRDefault="006B6999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Организационно-правовая форма организации, у которой привлекаются денежные </w:t>
            </w:r>
            <w:r>
              <w:lastRenderedPageBreak/>
              <w:t>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7" w:name="P586"/>
            <w:bookmarkEnd w:id="67"/>
            <w:r>
              <w:t>20.1.7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bookmarkStart w:id="68" w:name="P588"/>
            <w:bookmarkEnd w:id="68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9" w:name="P590"/>
            <w:bookmarkEnd w:id="69"/>
            <w:r>
              <w:t>21.1.1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397F68" w:rsidRPr="00397F68" w:rsidRDefault="00397F68" w:rsidP="00587B0F">
            <w:pPr>
              <w:pStyle w:val="ConsPlusNormal"/>
            </w:pPr>
            <w:r w:rsidRPr="00397F68">
              <w:t>Нет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D700F" w:rsidRDefault="00ED700F" w:rsidP="00587B0F">
            <w:pPr>
              <w:pStyle w:val="ConsPlusNormal"/>
            </w:pPr>
            <w:r>
              <w:t>10 000 000 руб. 00 коп.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21.2. О фирменном наименовании </w:t>
            </w:r>
            <w:r>
              <w:lastRenderedPageBreak/>
              <w:t xml:space="preserve">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lastRenderedPageBreak/>
              <w:t>21.2.1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6B6999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B6999" w:rsidRDefault="006B6999" w:rsidP="00EC073D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Индекс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B6999" w:rsidRDefault="006B6999">
            <w:pPr>
              <w:pStyle w:val="ConsPlusNormal"/>
            </w:pP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Номер телефона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70" w:name="P628"/>
            <w:bookmarkEnd w:id="70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22.1. О размере максимальной </w:t>
            </w:r>
            <w:r>
              <w:lastRenderedPageBreak/>
              <w:t xml:space="preserve">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1" w:name="P630"/>
            <w:bookmarkEnd w:id="71"/>
            <w:r>
              <w:lastRenderedPageBreak/>
              <w:t>22.1.1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</w:t>
            </w:r>
            <w:r>
              <w:lastRenderedPageBreak/>
              <w:t xml:space="preserve">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82134A" w:rsidRPr="0082134A" w:rsidRDefault="0082134A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2" w:name="P632"/>
            <w:bookmarkEnd w:id="72"/>
            <w:r>
              <w:t>22.1.2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bookmarkStart w:id="73" w:name="P634"/>
            <w:bookmarkEnd w:id="73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>
              <w:lastRenderedPageBreak/>
              <w:t>эксплуатацию.</w:t>
            </w:r>
          </w:p>
          <w:p w:rsidR="006B6999" w:rsidRDefault="006B6999" w:rsidP="00EC073D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4" w:name="P637"/>
            <w:bookmarkEnd w:id="74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6E3BC4" w:rsidRDefault="006E3BC4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5" w:name="P639"/>
            <w:bookmarkEnd w:id="75"/>
            <w:r>
              <w:t>23.1.2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</w:t>
            </w:r>
            <w:r>
              <w:lastRenderedPageBreak/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EC073D" w:rsidRDefault="00DA6D17">
            <w:pPr>
              <w:pStyle w:val="ConsPlusNormal"/>
            </w:pPr>
            <w:r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DA6D17" w:rsidRDefault="00DA6D17">
            <w:pPr>
              <w:pStyle w:val="ConsPlusNormal"/>
            </w:pPr>
            <w:r w:rsidRPr="00EC073D">
              <w:t xml:space="preserve">Об указанных в </w:t>
            </w:r>
            <w:hyperlink r:id="rId10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1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</w:t>
            </w:r>
            <w:r w:rsidRPr="00EC073D">
              <w:lastRenderedPageBreak/>
              <w:t>долевом строительстве многоквартирных домов и иных</w:t>
            </w:r>
            <w:r>
              <w:t xml:space="preserve">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DA6D17" w:rsidRDefault="00DA6D17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2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3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4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</w:t>
            </w:r>
            <w:r w:rsidRPr="00EC073D">
              <w:lastRenderedPageBreak/>
              <w:t>целей и планируемых размеров таких затрат, подлежащих возмещению за 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76" w:name="P645"/>
            <w:bookmarkEnd w:id="76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DA6D17" w:rsidRPr="006B6999" w:rsidRDefault="00AE46E1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7" w:name="P651"/>
            <w:bookmarkEnd w:id="77"/>
            <w:r>
              <w:t>24.1.4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8" w:name="P657"/>
            <w:bookmarkEnd w:id="78"/>
            <w:r>
              <w:t>24.1.7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 w:val="restart"/>
          </w:tcPr>
          <w:p w:rsidR="00DA6D17" w:rsidRDefault="00DA6D17">
            <w:pPr>
              <w:pStyle w:val="ConsPlusNormal"/>
            </w:pPr>
            <w:bookmarkStart w:id="79" w:name="P659"/>
            <w:bookmarkEnd w:id="79"/>
            <w:r>
              <w:t>24.1.8</w:t>
            </w:r>
          </w:p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/>
          </w:tcPr>
          <w:p w:rsidR="00DA6D17" w:rsidRDefault="00DA6D17"/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DA6D17" w:rsidRDefault="009E6698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5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8E" w:rsidRDefault="00862E8E" w:rsidP="0058219D">
      <w:pPr>
        <w:spacing w:after="0" w:line="240" w:lineRule="auto"/>
      </w:pPr>
      <w:r>
        <w:separator/>
      </w:r>
    </w:p>
  </w:endnote>
  <w:endnote w:type="continuationSeparator" w:id="0">
    <w:p w:rsidR="00862E8E" w:rsidRDefault="00862E8E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0157"/>
    </w:sdtPr>
    <w:sdtEndPr/>
    <w:sdtContent>
      <w:p w:rsidR="00D16AE2" w:rsidRDefault="00D16A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DEE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D16AE2" w:rsidRDefault="00D16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8E" w:rsidRDefault="00862E8E" w:rsidP="0058219D">
      <w:pPr>
        <w:spacing w:after="0" w:line="240" w:lineRule="auto"/>
      </w:pPr>
      <w:r>
        <w:separator/>
      </w:r>
    </w:p>
  </w:footnote>
  <w:footnote w:type="continuationSeparator" w:id="0">
    <w:p w:rsidR="00862E8E" w:rsidRDefault="00862E8E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17"/>
    <w:rsid w:val="0000454F"/>
    <w:rsid w:val="00017F98"/>
    <w:rsid w:val="00047D98"/>
    <w:rsid w:val="0006195A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C1398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7B7A"/>
    <w:rsid w:val="00187EFA"/>
    <w:rsid w:val="001A0209"/>
    <w:rsid w:val="001C4F65"/>
    <w:rsid w:val="001C5495"/>
    <w:rsid w:val="001C57A8"/>
    <w:rsid w:val="001C73F2"/>
    <w:rsid w:val="001D408E"/>
    <w:rsid w:val="001E0523"/>
    <w:rsid w:val="001E1BFE"/>
    <w:rsid w:val="001E3CA5"/>
    <w:rsid w:val="001E7EA1"/>
    <w:rsid w:val="001F0353"/>
    <w:rsid w:val="00217E0A"/>
    <w:rsid w:val="0026399B"/>
    <w:rsid w:val="00264AD1"/>
    <w:rsid w:val="00265D06"/>
    <w:rsid w:val="00275186"/>
    <w:rsid w:val="00295CB5"/>
    <w:rsid w:val="002F7667"/>
    <w:rsid w:val="00324B9B"/>
    <w:rsid w:val="00340149"/>
    <w:rsid w:val="003734A5"/>
    <w:rsid w:val="0037419F"/>
    <w:rsid w:val="003747AD"/>
    <w:rsid w:val="00384DC7"/>
    <w:rsid w:val="00397F6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E3BC4"/>
    <w:rsid w:val="006E7DD7"/>
    <w:rsid w:val="00713FC1"/>
    <w:rsid w:val="007179D6"/>
    <w:rsid w:val="007271C5"/>
    <w:rsid w:val="00785F98"/>
    <w:rsid w:val="0079400A"/>
    <w:rsid w:val="007B2D85"/>
    <w:rsid w:val="007B3A1F"/>
    <w:rsid w:val="007D2027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62E8E"/>
    <w:rsid w:val="00874D35"/>
    <w:rsid w:val="00876431"/>
    <w:rsid w:val="0088077E"/>
    <w:rsid w:val="00881474"/>
    <w:rsid w:val="00883FB7"/>
    <w:rsid w:val="0089033E"/>
    <w:rsid w:val="008B7AF9"/>
    <w:rsid w:val="008D1793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65D50"/>
    <w:rsid w:val="009B4BF1"/>
    <w:rsid w:val="009C3AB0"/>
    <w:rsid w:val="009C597B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A0B89"/>
    <w:rsid w:val="00AC0AD7"/>
    <w:rsid w:val="00AC12FA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47BF"/>
    <w:rsid w:val="00BB1B95"/>
    <w:rsid w:val="00BB33A0"/>
    <w:rsid w:val="00BF0D5E"/>
    <w:rsid w:val="00BF48AA"/>
    <w:rsid w:val="00BF5C9A"/>
    <w:rsid w:val="00C448EC"/>
    <w:rsid w:val="00C61460"/>
    <w:rsid w:val="00C8787E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A6D17"/>
    <w:rsid w:val="00DB6AE3"/>
    <w:rsid w:val="00DC2427"/>
    <w:rsid w:val="00DD0F3C"/>
    <w:rsid w:val="00DD3759"/>
    <w:rsid w:val="00DD3DD5"/>
    <w:rsid w:val="00DF0008"/>
    <w:rsid w:val="00E118A6"/>
    <w:rsid w:val="00E505F3"/>
    <w:rsid w:val="00E53DCF"/>
    <w:rsid w:val="00E568E6"/>
    <w:rsid w:val="00E60130"/>
    <w:rsid w:val="00E6451B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35DEE"/>
    <w:rsid w:val="00F47690"/>
    <w:rsid w:val="00F57CC7"/>
    <w:rsid w:val="00F60F4E"/>
    <w:rsid w:val="00F857D2"/>
    <w:rsid w:val="00F85D58"/>
    <w:rsid w:val="00FA1BAC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9990-5DDA-48A0-AF0D-ED6BF637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3BF04056BA0408D9DBDEB676208B9B6DDAFFA5D2E292730271DF98AD41C49EC00E6F94BDHEABC" TargetMode="External"/><Relationship Id="rId13" Type="http://schemas.openxmlformats.org/officeDocument/2006/relationships/hyperlink" Target="consultantplus://offline/ref=79A23BF04056BA0408D9DBDEB676208B9B6DDAFFA5D2E292730271DF98AD41C49EC00E6F97B9HEA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23BF04056BA0408D9DBDEB676208B9B6DDAFFA5D2E292730271DF98AD41C49EC00E6F97B9HEA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23BF04056BA0408D9DBDEB676208B9B6DDAFFA5D2E292730271DF98AD41C49EC00E6F97B8HEA5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A23BF04056BA0408D9DBDEB676208B9B6DDAFFA5D2E292730271DF98AD41C49EC00E6F97B8HE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23BF04056BA0408D9DBDEB676208B9B6DDAFFA5D2E292730271DF98AD41C49EC00E6F94B6HEA9C" TargetMode="External"/><Relationship Id="rId14" Type="http://schemas.openxmlformats.org/officeDocument/2006/relationships/hyperlink" Target="consultantplus://offline/ref=79A23BF04056BA0408D9DBDEB676208B9B6DDAFFA5D2E292730271DF98AD41C49EC00E6F97B9HE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674F-FC29-4746-8ADC-DDAD2D4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9673</Words>
  <Characters>55141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Паукова О.В.</dc:creator>
  <cp:keywords/>
  <dc:description/>
  <cp:lastModifiedBy>Василенко А.А.</cp:lastModifiedBy>
  <cp:revision>2</cp:revision>
  <cp:lastPrinted>2017-06-30T07:46:00Z</cp:lastPrinted>
  <dcterms:created xsi:type="dcterms:W3CDTF">2017-11-29T09:08:00Z</dcterms:created>
  <dcterms:modified xsi:type="dcterms:W3CDTF">2017-11-29T09:08:00Z</dcterms:modified>
</cp:coreProperties>
</file>